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28" w:rsidRDefault="00AF7EB3">
      <w:pPr>
        <w:spacing w:after="60"/>
        <w:jc w:val="center"/>
      </w:pPr>
      <w:bookmarkStart w:id="0" w:name="_GoBack"/>
      <w:bookmarkEnd w:id="0"/>
      <w:r>
        <w:rPr>
          <w:b/>
          <w:bCs/>
          <w:color w:val="1F4E79"/>
          <w:sz w:val="36"/>
          <w:szCs w:val="36"/>
        </w:rPr>
        <w:t>ПАМЯТКА</w:t>
      </w:r>
    </w:p>
    <w:p w:rsidR="00922228" w:rsidRPr="00355B3A" w:rsidRDefault="00355B3A">
      <w:pPr>
        <w:spacing w:after="200"/>
        <w:jc w:val="center"/>
        <w:rPr>
          <w:color w:val="FF0000"/>
        </w:rPr>
      </w:pPr>
      <w:r>
        <w:rPr>
          <w:b/>
          <w:bCs/>
          <w:color w:val="FF0000"/>
          <w:sz w:val="26"/>
          <w:szCs w:val="26"/>
        </w:rPr>
        <w:t>«</w:t>
      </w:r>
      <w:r w:rsidRPr="00355B3A">
        <w:rPr>
          <w:b/>
          <w:bCs/>
          <w:color w:val="FF0000"/>
          <w:sz w:val="26"/>
          <w:szCs w:val="26"/>
        </w:rPr>
        <w:t>ЧТО ДЕЛАТЬ, ЕСЛИ НА ВАШЕ ИМЯ ОФОРМЛЕН МОШЕННИЧЕСКИЙ КРЕДИТ</w:t>
      </w:r>
      <w:r>
        <w:rPr>
          <w:b/>
          <w:bCs/>
          <w:color w:val="FF0000"/>
          <w:sz w:val="26"/>
          <w:szCs w:val="26"/>
        </w:rPr>
        <w:t>»</w:t>
      </w:r>
    </w:p>
    <w:p w:rsidR="00922228" w:rsidRDefault="00922228">
      <w:pPr>
        <w:spacing w:before="140"/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C9326E" w:rsidTr="00FB71EF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922228" w:rsidRDefault="00AF7EB3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922228" w:rsidRDefault="00AF7EB3">
            <w:r>
              <w:rPr>
                <w:b/>
                <w:bCs/>
                <w:color w:val="1F4E79"/>
                <w:sz w:val="24"/>
                <w:szCs w:val="24"/>
              </w:rPr>
              <w:t>НЕМЕДЛЕННО УВЕДОМИТЕ БАНК ИЛИ МФО (КРЕДИТОР)</w:t>
            </w:r>
          </w:p>
        </w:tc>
      </w:tr>
    </w:tbl>
    <w:p w:rsidR="00922228" w:rsidRDefault="00AF7EB3" w:rsidP="00A70A19">
      <w:pPr>
        <w:spacing w:before="60" w:after="60"/>
        <w:jc w:val="both"/>
      </w:pPr>
      <w:r>
        <w:rPr>
          <w:color w:val="000000"/>
        </w:rPr>
        <w:t>Позвоните или напишите кредитору. Потребуйте:</w:t>
      </w:r>
    </w:p>
    <w:p w:rsidR="00922228" w:rsidRDefault="00AF7EB3">
      <w:pPr>
        <w:pStyle w:val="a4"/>
        <w:numPr>
          <w:ilvl w:val="0"/>
          <w:numId w:val="2"/>
        </w:numPr>
        <w:spacing w:before="40" w:after="40"/>
      </w:pPr>
      <w:r>
        <w:t xml:space="preserve">заблокировать карту, счет и доступ </w:t>
      </w:r>
      <w:r>
        <w:rPr>
          <w:lang w:val="kk-KZ"/>
        </w:rPr>
        <w:t>к</w:t>
      </w:r>
      <w:r>
        <w:t xml:space="preserve"> приложени</w:t>
      </w:r>
      <w:r>
        <w:rPr>
          <w:lang w:val="kk-KZ"/>
        </w:rPr>
        <w:t>ю</w:t>
      </w:r>
      <w:r>
        <w:t>;</w:t>
      </w:r>
    </w:p>
    <w:p w:rsidR="00922228" w:rsidRDefault="00AF7EB3">
      <w:pPr>
        <w:pStyle w:val="a4"/>
        <w:numPr>
          <w:ilvl w:val="0"/>
          <w:numId w:val="2"/>
        </w:numPr>
        <w:spacing w:before="40" w:after="40"/>
      </w:pPr>
      <w:r>
        <w:t>зарегистрировать ваше обращение с датой и временем.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C9326E" w:rsidTr="00FB71EF">
        <w:tc>
          <w:tcPr>
            <w:tcW w:w="10489" w:type="dxa"/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w:rsidR="004B3447" w:rsidRDefault="004B3447" w:rsidP="00BB03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 письменному обращению </w:t>
            </w:r>
            <w:r w:rsidR="00555D11">
              <w:rPr>
                <w:color w:val="000000"/>
              </w:rPr>
              <w:t>–</w:t>
            </w:r>
            <w:r w:rsidR="00555D11" w:rsidRPr="00923855">
              <w:rPr>
                <w:color w:val="000000"/>
              </w:rPr>
              <w:t xml:space="preserve"> </w:t>
            </w:r>
            <w:r w:rsidR="0043273E">
              <w:rPr>
                <w:color w:val="000000"/>
              </w:rPr>
              <w:t>запросит</w:t>
            </w:r>
            <w:r w:rsidR="0043273E">
              <w:rPr>
                <w:color w:val="000000"/>
                <w:lang w:val="kk-KZ"/>
              </w:rPr>
              <w:t>е</w:t>
            </w:r>
            <w:r w:rsidR="0043273E">
              <w:rPr>
                <w:color w:val="000000"/>
              </w:rPr>
              <w:t xml:space="preserve"> подтверждение</w:t>
            </w:r>
            <w:r w:rsidR="0043273E">
              <w:rPr>
                <w:color w:val="000000"/>
                <w:lang w:val="kk-KZ"/>
              </w:rPr>
              <w:t xml:space="preserve"> о</w:t>
            </w:r>
            <w:r w:rsidR="0043273E">
              <w:rPr>
                <w:color w:val="000000"/>
              </w:rPr>
              <w:t xml:space="preserve"> его регистрации </w:t>
            </w:r>
          </w:p>
          <w:p w:rsidR="00922228" w:rsidRDefault="004B3447" w:rsidP="00BB031D">
            <w:pPr>
              <w:jc w:val="both"/>
            </w:pPr>
            <w:r>
              <w:rPr>
                <w:color w:val="000000"/>
              </w:rPr>
              <w:t>Это</w:t>
            </w:r>
            <w:r w:rsidR="0043273E">
              <w:rPr>
                <w:color w:val="000000"/>
              </w:rPr>
              <w:t xml:space="preserve"> </w:t>
            </w:r>
            <w:r w:rsidR="0043273E">
              <w:rPr>
                <w:color w:val="000000"/>
                <w:lang w:val="kk-KZ"/>
              </w:rPr>
              <w:t>нужно</w:t>
            </w:r>
            <w:r w:rsidR="0043273E">
              <w:rPr>
                <w:color w:val="000000"/>
              </w:rPr>
              <w:t xml:space="preserve"> для </w:t>
            </w:r>
            <w:r w:rsidR="0043273E">
              <w:rPr>
                <w:color w:val="000000"/>
                <w:lang w:val="kk-KZ"/>
              </w:rPr>
              <w:t>дальнейшего</w:t>
            </w:r>
            <w:r w:rsidR="0043273E">
              <w:rPr>
                <w:color w:val="000000"/>
              </w:rPr>
              <w:t xml:space="preserve"> взаимодействия с кредитором и государственными органами.</w:t>
            </w:r>
          </w:p>
        </w:tc>
      </w:tr>
    </w:tbl>
    <w:p w:rsidR="00922228" w:rsidRDefault="00922228">
      <w:pPr>
        <w:spacing w:before="100"/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C9326E" w:rsidTr="00FB71EF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922228" w:rsidRDefault="00AF7EB3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922228" w:rsidRDefault="00AF7EB3">
            <w:r>
              <w:rPr>
                <w:b/>
                <w:bCs/>
                <w:color w:val="1F4E79"/>
                <w:sz w:val="24"/>
                <w:szCs w:val="24"/>
              </w:rPr>
              <w:t>СОХРАНИТЕ ВСЕ ДОКАЗАТЕЛЬСТВА</w:t>
            </w:r>
          </w:p>
        </w:tc>
      </w:tr>
    </w:tbl>
    <w:p w:rsidR="00922228" w:rsidRDefault="00AD01A4" w:rsidP="002378BD">
      <w:pPr>
        <w:spacing w:before="60" w:after="60"/>
        <w:jc w:val="both"/>
        <w:rPr>
          <w:color w:val="000000"/>
        </w:rPr>
      </w:pPr>
      <w:r>
        <w:rPr>
          <w:color w:val="000000"/>
        </w:rPr>
        <w:t>Незамедлительно зафиксируйте всю информацию</w:t>
      </w:r>
      <w:r w:rsidR="00555D11" w:rsidRPr="00923855">
        <w:rPr>
          <w:color w:val="000000"/>
        </w:rPr>
        <w:t xml:space="preserve"> </w:t>
      </w:r>
      <w:r>
        <w:rPr>
          <w:color w:val="000000"/>
        </w:rPr>
        <w:t xml:space="preserve">– это </w:t>
      </w:r>
      <w:r>
        <w:rPr>
          <w:color w:val="000000"/>
          <w:lang w:val="kk-KZ"/>
        </w:rPr>
        <w:t>нужно</w:t>
      </w:r>
      <w:r>
        <w:rPr>
          <w:color w:val="000000"/>
        </w:rPr>
        <w:t xml:space="preserve"> для обращения в полицию и защиты </w:t>
      </w:r>
      <w:r w:rsidR="004B3447">
        <w:rPr>
          <w:color w:val="000000"/>
        </w:rPr>
        <w:t>В</w:t>
      </w:r>
      <w:r>
        <w:rPr>
          <w:color w:val="000000"/>
        </w:rPr>
        <w:t xml:space="preserve">аших прав. Сохраните: </w:t>
      </w:r>
    </w:p>
    <w:p w:rsidR="001F74EE" w:rsidRDefault="001F74EE" w:rsidP="001F74EE">
      <w:pPr>
        <w:spacing w:before="60" w:after="60"/>
        <w:ind w:firstLine="284"/>
        <w:jc w:val="both"/>
      </w:pPr>
      <w:r>
        <w:t>– записи разговоров и голосовых сообщений (при наличии);</w:t>
      </w:r>
    </w:p>
    <w:p w:rsidR="000E0898" w:rsidRDefault="000E0898" w:rsidP="000E0898">
      <w:pPr>
        <w:spacing w:before="60" w:after="60"/>
        <w:ind w:firstLine="284"/>
        <w:jc w:val="both"/>
      </w:pPr>
      <w:r>
        <w:t>– СМС и коды подтверждения;</w:t>
      </w:r>
    </w:p>
    <w:p w:rsidR="000E0898" w:rsidRDefault="000E0898" w:rsidP="000E0898">
      <w:pPr>
        <w:spacing w:before="60" w:after="60"/>
        <w:ind w:firstLine="284"/>
        <w:jc w:val="both"/>
      </w:pPr>
      <w:r>
        <w:t>– звонки и переписку (включая мессенджеры);</w:t>
      </w:r>
    </w:p>
    <w:p w:rsidR="000E0898" w:rsidRDefault="000E0898" w:rsidP="000E0898">
      <w:pPr>
        <w:spacing w:before="60" w:after="60"/>
        <w:ind w:firstLine="284"/>
        <w:jc w:val="both"/>
      </w:pPr>
      <w:r>
        <w:t>– уведомления кредитора;</w:t>
      </w:r>
    </w:p>
    <w:p w:rsidR="000E0898" w:rsidRDefault="000E0898" w:rsidP="000E0898">
      <w:pPr>
        <w:spacing w:before="60" w:after="60"/>
        <w:ind w:firstLine="284"/>
        <w:jc w:val="both"/>
      </w:pPr>
      <w:r>
        <w:t>– выписки по счетам и реквизиты получателей.</w:t>
      </w:r>
    </w:p>
    <w:p w:rsidR="000E0898" w:rsidRDefault="000E0898" w:rsidP="000E0898">
      <w:pPr>
        <w:spacing w:before="60" w:after="60"/>
        <w:jc w:val="both"/>
      </w:pPr>
      <w:r>
        <w:t>Используйте скриншоты и копии, не изменяя данные.</w:t>
      </w:r>
    </w:p>
    <w:p w:rsidR="00922228" w:rsidRDefault="00922228">
      <w:pPr>
        <w:spacing w:before="100"/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C9326E" w:rsidTr="00FB71EF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922228" w:rsidRDefault="00AF7EB3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3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922228" w:rsidRDefault="00792DD9">
            <w:r>
              <w:rPr>
                <w:b/>
                <w:bCs/>
                <w:color w:val="1F4E79"/>
                <w:sz w:val="24"/>
                <w:szCs w:val="24"/>
              </w:rPr>
              <w:t>ОБРАТИТЕСЬ В ПОЛИЦИЮ</w:t>
            </w:r>
          </w:p>
        </w:tc>
      </w:tr>
    </w:tbl>
    <w:p w:rsidR="00922228" w:rsidRDefault="00792DD9" w:rsidP="00792DD9">
      <w:pPr>
        <w:spacing w:before="40"/>
        <w:jc w:val="both"/>
      </w:pPr>
      <w:r>
        <w:rPr>
          <w:color w:val="000000"/>
        </w:rPr>
        <w:t>Подайте заявление через портал eGov, e-Otinish или лично в территориальный орган по месту жительства. Обращение подлежит обязательной регистрации, после чего начинается досудебное расследование.</w:t>
      </w:r>
    </w:p>
    <w:p w:rsidR="00922228" w:rsidRDefault="00AF7EB3">
      <w:pPr>
        <w:spacing w:before="60" w:after="60"/>
      </w:pPr>
      <w:r>
        <w:rPr>
          <w:color w:val="000000"/>
        </w:rPr>
        <w:t>В заявлении укажите:</w:t>
      </w:r>
    </w:p>
    <w:p w:rsidR="00922228" w:rsidRDefault="00AF7EB3">
      <w:pPr>
        <w:pStyle w:val="a4"/>
        <w:numPr>
          <w:ilvl w:val="0"/>
          <w:numId w:val="2"/>
        </w:numPr>
        <w:spacing w:before="40" w:after="40"/>
      </w:pPr>
      <w:r>
        <w:t>дату и сумму кредита, наименование кредитора;</w:t>
      </w:r>
    </w:p>
    <w:p w:rsidR="00922228" w:rsidRDefault="00A0773D">
      <w:pPr>
        <w:pStyle w:val="a4"/>
        <w:numPr>
          <w:ilvl w:val="0"/>
          <w:numId w:val="2"/>
        </w:numPr>
        <w:spacing w:before="40" w:after="40"/>
      </w:pPr>
      <w:r>
        <w:t>обстоятельства оформления;</w:t>
      </w:r>
    </w:p>
    <w:p w:rsidR="00922228" w:rsidRDefault="00A0773D">
      <w:pPr>
        <w:pStyle w:val="a4"/>
        <w:numPr>
          <w:ilvl w:val="0"/>
          <w:numId w:val="2"/>
        </w:numPr>
        <w:spacing w:before="40" w:after="40"/>
      </w:pPr>
      <w:r>
        <w:t>известные контакты лиц, причастных к мошенничеству;</w:t>
      </w:r>
    </w:p>
    <w:p w:rsidR="00922228" w:rsidRDefault="00A0773D">
      <w:pPr>
        <w:pStyle w:val="a4"/>
        <w:numPr>
          <w:ilvl w:val="0"/>
          <w:numId w:val="2"/>
        </w:numPr>
        <w:spacing w:before="40" w:after="40"/>
      </w:pPr>
      <w:r>
        <w:t>имеющиеся материалы (скриншоты, выписки, переписку и др.).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C9326E" w:rsidTr="00FB71EF">
        <w:tc>
          <w:tcPr>
            <w:tcW w:w="10489" w:type="dxa"/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w:rsidR="00922228" w:rsidRPr="00A0773D" w:rsidRDefault="00A0773D" w:rsidP="00BB03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 момента регистрации в ЕРДР возбуждается досудебное расследование по статье 190 Уголовного кодекса РК по факту мошенничества</w:t>
            </w:r>
          </w:p>
        </w:tc>
      </w:tr>
    </w:tbl>
    <w:p w:rsidR="00922228" w:rsidRDefault="00922228">
      <w:pPr>
        <w:spacing w:before="60"/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C9326E" w:rsidTr="00FB71EF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922228" w:rsidRDefault="00AF7EB3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4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922228" w:rsidRPr="00555D11" w:rsidRDefault="00931CDF">
            <w:r>
              <w:rPr>
                <w:b/>
                <w:bCs/>
                <w:color w:val="1F4E79"/>
                <w:sz w:val="24"/>
                <w:szCs w:val="24"/>
              </w:rPr>
              <w:t>ЧТО ДАЕТ ОБРАЩЕНИЕ В ПОЛИЦИЮ</w:t>
            </w:r>
            <w:r w:rsidR="00555D11" w:rsidRPr="00923855">
              <w:rPr>
                <w:b/>
                <w:bCs/>
                <w:color w:val="1F4E79"/>
                <w:sz w:val="24"/>
                <w:szCs w:val="24"/>
              </w:rPr>
              <w:t>?</w:t>
            </w:r>
          </w:p>
        </w:tc>
      </w:tr>
    </w:tbl>
    <w:p w:rsidR="00931CDF" w:rsidRDefault="00931CDF" w:rsidP="00931CDF">
      <w:pPr>
        <w:spacing w:before="60"/>
        <w:jc w:val="both"/>
      </w:pPr>
      <w:r>
        <w:t xml:space="preserve">Ключевой этап – получение </w:t>
      </w:r>
      <w:r w:rsidRPr="00923855">
        <w:rPr>
          <w:b/>
        </w:rPr>
        <w:t>постановления о признании потерпевшим либо представления полиции</w:t>
      </w:r>
      <w:r>
        <w:t xml:space="preserve">. </w:t>
      </w:r>
      <w:r w:rsidR="004D29D3">
        <w:t>П</w:t>
      </w:r>
      <w:r>
        <w:t>олиция устанавливает обстоятельства оформления кредита, проверяет факты использования персональных данных и принимает меры по установлению причастных лиц.</w:t>
      </w:r>
    </w:p>
    <w:p w:rsidR="00922228" w:rsidRPr="009E5C6F" w:rsidRDefault="00341E23" w:rsidP="00931CDF">
      <w:pPr>
        <w:spacing w:before="60"/>
        <w:jc w:val="both"/>
        <w:rPr>
          <w:color w:val="000000"/>
        </w:rPr>
      </w:pPr>
      <w:r>
        <w:t xml:space="preserve">С полученным постановлением необходимо обратиться к кредитору. 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C9326E" w:rsidTr="00FB71EF">
        <w:trPr>
          <w:trHeight w:val="563"/>
        </w:trPr>
        <w:tc>
          <w:tcPr>
            <w:tcW w:w="10489" w:type="dxa"/>
            <w:shd w:val="clear" w:color="auto" w:fill="FFF2CC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073017" w:rsidRPr="00573800" w:rsidRDefault="00AF7EB3" w:rsidP="009E5C6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Важно:</w:t>
            </w:r>
            <w:r>
              <w:rPr>
                <w:color w:val="000000"/>
              </w:rPr>
              <w:t xml:space="preserve"> в документе должны быть указаны сумма кредита, дата оформления и наименование кредитора</w:t>
            </w:r>
          </w:p>
        </w:tc>
      </w:tr>
    </w:tbl>
    <w:p w:rsidR="00922228" w:rsidRDefault="00455E29" w:rsidP="00455E29">
      <w:pPr>
        <w:spacing w:before="100"/>
        <w:jc w:val="both"/>
      </w:pPr>
      <w:r>
        <w:t xml:space="preserve">На основании указанного документа кредитор </w:t>
      </w:r>
      <w:r>
        <w:rPr>
          <w:b/>
        </w:rPr>
        <w:t>не позднее 3 календарных дней</w:t>
      </w:r>
      <w:r>
        <w:t xml:space="preserve"> приостанавливает взыскание задолженности и претензионно-исковую работу по кредиту.</w:t>
      </w:r>
    </w:p>
    <w:tbl>
      <w:tblPr>
        <w:tblpPr w:leftFromText="180" w:rightFromText="180" w:vertAnchor="text" w:horzAnchor="margin" w:tblpY="64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C9326E" w:rsidTr="00FB71EF">
        <w:trPr>
          <w:trHeight w:val="471"/>
        </w:trPr>
        <w:tc>
          <w:tcPr>
            <w:tcW w:w="10489" w:type="dxa"/>
            <w:shd w:val="clear" w:color="auto" w:fill="FCE4D6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w:rsidR="00CB62AE" w:rsidRDefault="00CB62AE" w:rsidP="00BB031D">
            <w:r>
              <w:rPr>
                <w:color w:val="000000"/>
              </w:rPr>
              <w:t>При необходимости кредитор вправе запросить дополнительные сведения для проверки обстоятельств.</w:t>
            </w:r>
          </w:p>
        </w:tc>
      </w:tr>
    </w:tbl>
    <w:p w:rsidR="004069A7" w:rsidRDefault="004069A7" w:rsidP="001F29CF">
      <w:pPr>
        <w:spacing w:before="60" w:after="60"/>
        <w:jc w:val="both"/>
      </w:pPr>
      <w:r>
        <w:rPr>
          <w:b/>
          <w:bCs/>
          <w:color w:val="000000"/>
        </w:rPr>
        <w:t xml:space="preserve">Если кредит передан коллекторам </w:t>
      </w:r>
      <w:r>
        <w:rPr>
          <w:bCs/>
          <w:color w:val="000000"/>
        </w:rPr>
        <w:t>– у</w:t>
      </w:r>
      <w:r>
        <w:t>ведомите их о наличии уголовного дела и процессуального документа.</w:t>
      </w:r>
    </w:p>
    <w:p w:rsidR="00A3787D" w:rsidRDefault="001F29CF" w:rsidP="00A3787D">
      <w:pPr>
        <w:spacing w:before="100"/>
        <w:jc w:val="both"/>
      </w:pPr>
      <w:r>
        <w:lastRenderedPageBreak/>
        <w:t>При бездействии кредитора или коллектора обратитесь в</w:t>
      </w:r>
      <w:r>
        <w:rPr>
          <w:b/>
        </w:rPr>
        <w:t xml:space="preserve"> Агентство РК по регулированию и развитию финансового рынка (АРРФР)</w:t>
      </w:r>
      <w:r>
        <w:t xml:space="preserve"> через e-Otinish для проведения проверки и принятия мер надзорного реагирования.</w:t>
      </w:r>
    </w:p>
    <w:p w:rsidR="00A3787D" w:rsidRDefault="001F29CF" w:rsidP="00A3787D">
      <w:pPr>
        <w:spacing w:before="100"/>
        <w:jc w:val="both"/>
      </w:pPr>
      <w:r>
        <w:t>В случае несогласия с действиями (бездействием) сотрудников полиции вы вправе обратиться к руководству территориального органа, подать жалобу через портал e-Otinish либо обратиться в органы прокуратуры.</w:t>
      </w:r>
    </w:p>
    <w:p w:rsidR="00455E29" w:rsidRDefault="00455E29">
      <w:pPr>
        <w:spacing w:before="100"/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689"/>
      </w:tblGrid>
      <w:tr w:rsidR="00C9326E" w:rsidTr="00FB71EF">
        <w:tc>
          <w:tcPr>
            <w:tcW w:w="800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922228" w:rsidRDefault="00AF7EB3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5</w:t>
            </w:r>
          </w:p>
        </w:tc>
        <w:tc>
          <w:tcPr>
            <w:tcW w:w="9689" w:type="dxa"/>
            <w:shd w:val="clear" w:color="auto" w:fill="D6E4F0"/>
            <w:tcMar>
              <w:top w:w="100" w:type="dxa"/>
              <w:left w:w="180" w:type="dxa"/>
              <w:bottom w:w="100" w:type="dxa"/>
              <w:right w:w="120" w:type="dxa"/>
            </w:tcMar>
          </w:tcPr>
          <w:p w:rsidR="00922228" w:rsidRPr="00425461" w:rsidRDefault="00AF4988">
            <w:pPr>
              <w:rPr>
                <w:lang w:val="kk-KZ"/>
              </w:rPr>
            </w:pPr>
            <w:r>
              <w:rPr>
                <w:b/>
                <w:bCs/>
                <w:color w:val="1F4E79"/>
                <w:sz w:val="24"/>
                <w:szCs w:val="24"/>
              </w:rPr>
              <w:t>МОЖНО ЛИ СПИСАТЬ МОШЕННИЧЕСКИЙ КРЕДИТ?</w:t>
            </w:r>
          </w:p>
        </w:tc>
      </w:tr>
    </w:tbl>
    <w:p w:rsidR="00922228" w:rsidRDefault="00AF4988" w:rsidP="00AF4988">
      <w:pPr>
        <w:spacing w:before="60"/>
      </w:pPr>
      <w:r>
        <w:t xml:space="preserve">Важно понимать: </w:t>
      </w:r>
      <w:r>
        <w:rPr>
          <w:b/>
        </w:rPr>
        <w:t>сам факт мошенничества не означает автоматическое списание долга</w:t>
      </w:r>
      <w:r>
        <w:t>.</w:t>
      </w:r>
    </w:p>
    <w:p w:rsidR="00D0380B" w:rsidRPr="00923855" w:rsidRDefault="00D0380B" w:rsidP="00D0380B">
      <w:pPr>
        <w:spacing w:before="60"/>
        <w:rPr>
          <w:b/>
        </w:rPr>
      </w:pPr>
      <w:r>
        <w:t xml:space="preserve">Списание возможно только </w:t>
      </w:r>
      <w:r w:rsidRPr="00923855">
        <w:rPr>
          <w:b/>
        </w:rPr>
        <w:t>если одновременно установлен</w:t>
      </w:r>
      <w:r w:rsidR="00555D11">
        <w:rPr>
          <w:b/>
          <w:lang w:val="kk-KZ"/>
        </w:rPr>
        <w:t>ы</w:t>
      </w:r>
      <w:r w:rsidRPr="00923855">
        <w:rPr>
          <w:b/>
        </w:rPr>
        <w:t>:</w:t>
      </w:r>
    </w:p>
    <w:p w:rsidR="00D0380B" w:rsidRDefault="00D0380B" w:rsidP="006140B3">
      <w:pPr>
        <w:tabs>
          <w:tab w:val="left" w:pos="993"/>
        </w:tabs>
        <w:spacing w:before="60"/>
        <w:ind w:firstLine="709"/>
      </w:pPr>
      <w:r>
        <w:t>-</w:t>
      </w:r>
      <w:r>
        <w:tab/>
        <w:t>факт мошенничества;</w:t>
      </w:r>
    </w:p>
    <w:p w:rsidR="00D0380B" w:rsidRDefault="006140B3" w:rsidP="006140B3">
      <w:pPr>
        <w:tabs>
          <w:tab w:val="left" w:pos="993"/>
        </w:tabs>
        <w:spacing w:before="60"/>
        <w:ind w:firstLine="709"/>
      </w:pPr>
      <w:r>
        <w:t>-</w:t>
      </w:r>
      <w:r>
        <w:tab/>
        <w:t>нарушения со стороны кредитора при выдаче кредита.</w:t>
      </w:r>
    </w:p>
    <w:p w:rsidR="00922228" w:rsidRDefault="00D0380B" w:rsidP="00B00AC8">
      <w:pPr>
        <w:spacing w:before="60"/>
        <w:jc w:val="both"/>
      </w:pPr>
      <w:r>
        <w:t>В зависимости от ситуации применяется: внесудебное списание (при очевидных нарушениях) либо судебный порядок.</w:t>
      </w:r>
    </w:p>
    <w:tbl>
      <w:tblPr>
        <w:tblStyle w:val="a9"/>
        <w:tblW w:w="10494" w:type="dxa"/>
        <w:tblInd w:w="-5" w:type="dxa"/>
        <w:tblLook w:val="04A0" w:firstRow="1" w:lastRow="0" w:firstColumn="1" w:lastColumn="0" w:noHBand="0" w:noVBand="1"/>
      </w:tblPr>
      <w:tblGrid>
        <w:gridCol w:w="5670"/>
        <w:gridCol w:w="4824"/>
      </w:tblGrid>
      <w:tr w:rsidR="00781414" w:rsidTr="00FB71EF">
        <w:tc>
          <w:tcPr>
            <w:tcW w:w="5670" w:type="dxa"/>
            <w:shd w:val="clear" w:color="auto" w:fill="E2EFD9" w:themeFill="accent6" w:themeFillTint="33"/>
            <w:vAlign w:val="center"/>
          </w:tcPr>
          <w:p w:rsidR="00781414" w:rsidRDefault="00781414" w:rsidP="00781414">
            <w:pPr>
              <w:spacing w:before="60"/>
              <w:jc w:val="center"/>
            </w:pPr>
            <w:r>
              <w:rPr>
                <w:b/>
                <w:bCs/>
                <w:color w:val="375623"/>
                <w:sz w:val="24"/>
                <w:szCs w:val="24"/>
              </w:rPr>
              <w:t>ВНЕСУДЕБНОЕ СПИСАНИЕ ДОЛГА</w:t>
            </w:r>
          </w:p>
        </w:tc>
        <w:tc>
          <w:tcPr>
            <w:tcW w:w="4824" w:type="dxa"/>
            <w:shd w:val="clear" w:color="auto" w:fill="F7CAAC" w:themeFill="accent2" w:themeFillTint="66"/>
            <w:vAlign w:val="center"/>
          </w:tcPr>
          <w:p w:rsidR="00781414" w:rsidRDefault="00781414" w:rsidP="00781414">
            <w:pPr>
              <w:spacing w:before="60"/>
              <w:jc w:val="center"/>
            </w:pPr>
            <w:r>
              <w:rPr>
                <w:b/>
                <w:bCs/>
                <w:color w:val="C00000"/>
                <w:sz w:val="24"/>
                <w:szCs w:val="24"/>
              </w:rPr>
              <w:t>СУДЕБНОЕ СПИСАНИЕ ДОЛГА</w:t>
            </w:r>
          </w:p>
        </w:tc>
      </w:tr>
      <w:tr w:rsidR="00781414" w:rsidTr="00FB71EF">
        <w:tc>
          <w:tcPr>
            <w:tcW w:w="5670" w:type="dxa"/>
            <w:vAlign w:val="center"/>
          </w:tcPr>
          <w:p w:rsidR="00BF4092" w:rsidRDefault="00DD026E" w:rsidP="00712C71">
            <w:pPr>
              <w:spacing w:before="60"/>
              <w:jc w:val="both"/>
            </w:pPr>
            <w:r>
              <w:t>Возможно, если одновременно факт мошенничества подтвержден полицией и при выдаче кредита допущены нарушения со стороны кредитора.</w:t>
            </w:r>
          </w:p>
        </w:tc>
        <w:tc>
          <w:tcPr>
            <w:tcW w:w="4824" w:type="dxa"/>
          </w:tcPr>
          <w:p w:rsidR="00781414" w:rsidRDefault="00D372A6" w:rsidP="00B00AC8">
            <w:pPr>
              <w:spacing w:before="60"/>
              <w:jc w:val="both"/>
            </w:pPr>
            <w:r>
              <w:t>Применяется, если факт мошенничества подтвержден полицией, однако наличие нарушений со стороны кредитора требует установления в судебном порядке.</w:t>
            </w:r>
          </w:p>
        </w:tc>
      </w:tr>
      <w:tr w:rsidR="00AF1F90" w:rsidTr="00FB71EF">
        <w:tc>
          <w:tcPr>
            <w:tcW w:w="5670" w:type="dxa"/>
          </w:tcPr>
          <w:p w:rsidR="00FF4B71" w:rsidRDefault="00FF4B71" w:rsidP="00827B68">
            <w:pPr>
              <w:spacing w:before="60"/>
              <w:jc w:val="both"/>
            </w:pPr>
            <w:r>
              <w:t>К таким нарушениям относятся:</w:t>
            </w:r>
          </w:p>
          <w:p w:rsidR="00FF4B71" w:rsidRDefault="00FF4B71" w:rsidP="00827B68">
            <w:pPr>
              <w:tabs>
                <w:tab w:val="left" w:pos="589"/>
              </w:tabs>
              <w:spacing w:before="60"/>
              <w:jc w:val="both"/>
            </w:pPr>
            <w:r>
              <w:t>– отсутствие обязательной биометрии при получении онлайн-кредита;</w:t>
            </w:r>
          </w:p>
          <w:p w:rsidR="00FF4B71" w:rsidRDefault="00FF4B71" w:rsidP="00827B68">
            <w:pPr>
              <w:tabs>
                <w:tab w:val="left" w:pos="589"/>
              </w:tabs>
              <w:spacing w:before="60"/>
              <w:jc w:val="both"/>
            </w:pPr>
            <w:r>
              <w:t>– выдача кредита при наличии установленного клиентом в eGov запрета на получение кредитов;</w:t>
            </w:r>
          </w:p>
          <w:p w:rsidR="00FF4B71" w:rsidRDefault="00FF4B71" w:rsidP="00827B68">
            <w:pPr>
              <w:tabs>
                <w:tab w:val="left" w:pos="589"/>
              </w:tabs>
              <w:spacing w:before="60"/>
              <w:jc w:val="both"/>
            </w:pPr>
            <w:r>
              <w:t>– несоблюдение возрастных требований (до 21 года и старше 55 лет без подтвержденного согласия);</w:t>
            </w:r>
          </w:p>
          <w:p w:rsidR="00FF4B71" w:rsidRDefault="00FF4B71" w:rsidP="00827B68">
            <w:pPr>
              <w:tabs>
                <w:tab w:val="left" w:pos="589"/>
              </w:tabs>
              <w:spacing w:before="60"/>
              <w:jc w:val="both"/>
            </w:pPr>
            <w:r>
              <w:t>– оформление первого беззалогового потребительского кредита онлайн без биометрии или без личного присутствия (при превышении установленных порогов);</w:t>
            </w:r>
          </w:p>
          <w:p w:rsidR="00AF1F90" w:rsidRDefault="00FF4B71" w:rsidP="00827B68">
            <w:pPr>
              <w:tabs>
                <w:tab w:val="left" w:pos="589"/>
              </w:tabs>
              <w:spacing w:before="60"/>
              <w:jc w:val="both"/>
            </w:pPr>
            <w:r>
              <w:t>– нарушение «периода охлаждения»: ранее 8 часов для банковских займов от 150 до 255 МРП и ранее 24 часов для сумм: свыше 255 МРП по банковским займам и свыше 75 МРП по микрокредитам и без дополнительного подтверждения заемщика</w:t>
            </w:r>
          </w:p>
          <w:p w:rsidR="004418B9" w:rsidRDefault="00BB2E67" w:rsidP="00827B68">
            <w:pPr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Исключения: </w:t>
            </w:r>
          </w:p>
          <w:p w:rsidR="004418B9" w:rsidRDefault="004418B9" w:rsidP="00827B68">
            <w:pPr>
              <w:spacing w:before="60"/>
              <w:jc w:val="both"/>
            </w:pPr>
            <w:r>
              <w:t xml:space="preserve">- оплата товаров или услуг напрямую продавцу; </w:t>
            </w:r>
          </w:p>
          <w:p w:rsidR="004418B9" w:rsidRDefault="004418B9" w:rsidP="00827B68">
            <w:pPr>
              <w:spacing w:before="60"/>
              <w:jc w:val="both"/>
            </w:pPr>
            <w:r>
              <w:t xml:space="preserve">- погашение задолженности в том же банке или МФО; </w:t>
            </w:r>
          </w:p>
          <w:p w:rsidR="00517D64" w:rsidRDefault="004418B9" w:rsidP="00827B68">
            <w:pPr>
              <w:spacing w:before="60"/>
              <w:jc w:val="both"/>
            </w:pPr>
            <w:r>
              <w:t>- операции по карте в пределах лимита до 150 МРП;</w:t>
            </w:r>
          </w:p>
          <w:p w:rsidR="00BB2E67" w:rsidRDefault="00517D64" w:rsidP="00827B68">
            <w:pPr>
              <w:spacing w:before="60"/>
              <w:jc w:val="both"/>
            </w:pPr>
            <w:r>
              <w:t>- оплата налогов, штрафов и задолженности по исполнительному производству.</w:t>
            </w:r>
          </w:p>
        </w:tc>
        <w:tc>
          <w:tcPr>
            <w:tcW w:w="4824" w:type="dxa"/>
          </w:tcPr>
          <w:p w:rsidR="00827B68" w:rsidRDefault="00827B68" w:rsidP="00827B68">
            <w:pPr>
              <w:tabs>
                <w:tab w:val="left" w:pos="318"/>
              </w:tabs>
              <w:spacing w:before="60"/>
              <w:jc w:val="both"/>
            </w:pPr>
            <w:r>
              <w:t>Суд на основании собранной полицией доказательной базы устанавливает факт мошеннического оформления кредита и выясняет, стали ли возможными действия мошенников из-за нарушений банка или МФО.</w:t>
            </w:r>
          </w:p>
          <w:p w:rsidR="00D372A6" w:rsidRDefault="00D372A6" w:rsidP="00827B68">
            <w:pPr>
              <w:spacing w:before="60"/>
              <w:jc w:val="both"/>
            </w:pPr>
            <w:r>
              <w:t>К таким нарушениям относятся:</w:t>
            </w:r>
          </w:p>
          <w:p w:rsidR="00D372A6" w:rsidRDefault="00D372A6" w:rsidP="005939DB">
            <w:pPr>
              <w:tabs>
                <w:tab w:val="left" w:pos="460"/>
              </w:tabs>
              <w:spacing w:before="60"/>
              <w:jc w:val="both"/>
            </w:pPr>
            <w:r>
              <w:t>– использование третьими лицами персональных данных клиента (в том числе с применением удаленного доступа);</w:t>
            </w:r>
          </w:p>
          <w:p w:rsidR="00D372A6" w:rsidRDefault="00D372A6" w:rsidP="005939DB">
            <w:pPr>
              <w:tabs>
                <w:tab w:val="left" w:pos="601"/>
              </w:tabs>
              <w:spacing w:before="60"/>
              <w:jc w:val="both"/>
            </w:pPr>
            <w:r>
              <w:t xml:space="preserve">– нарушения </w:t>
            </w:r>
            <w:r w:rsidR="004D29D3">
              <w:t>процедуры</w:t>
            </w:r>
            <w:r>
              <w:t xml:space="preserve"> биометри</w:t>
            </w:r>
            <w:r w:rsidR="004D29D3">
              <w:t>и</w:t>
            </w:r>
            <w:r>
              <w:t>;</w:t>
            </w:r>
          </w:p>
          <w:p w:rsidR="00D372A6" w:rsidRDefault="00D372A6" w:rsidP="005939DB">
            <w:pPr>
              <w:tabs>
                <w:tab w:val="left" w:pos="601"/>
              </w:tabs>
              <w:spacing w:before="60"/>
              <w:jc w:val="both"/>
            </w:pPr>
            <w:r>
              <w:t>– несоблюдение требований по выявлению и предотвращению мошеннических операций.</w:t>
            </w:r>
          </w:p>
          <w:p w:rsidR="00AF1F90" w:rsidRDefault="00837BE6" w:rsidP="00837BE6">
            <w:pPr>
              <w:tabs>
                <w:tab w:val="left" w:pos="318"/>
              </w:tabs>
              <w:spacing w:before="60"/>
              <w:jc w:val="both"/>
            </w:pPr>
            <w:r>
              <w:t>В этом случае суд устанавливает обстоятельства дела и принимает решение о списании кредита.</w:t>
            </w:r>
          </w:p>
        </w:tc>
      </w:tr>
      <w:tr w:rsidR="00887438" w:rsidTr="00FB71EF">
        <w:tc>
          <w:tcPr>
            <w:tcW w:w="5670" w:type="dxa"/>
          </w:tcPr>
          <w:p w:rsidR="0094759D" w:rsidRDefault="004D29D3" w:rsidP="0094759D">
            <w:pPr>
              <w:spacing w:before="60"/>
            </w:pPr>
            <w:r>
              <w:t>К</w:t>
            </w:r>
            <w:r w:rsidR="0094759D">
              <w:t>редитор обязан:</w:t>
            </w:r>
          </w:p>
          <w:p w:rsidR="0094759D" w:rsidRDefault="0094759D" w:rsidP="0094759D">
            <w:pPr>
              <w:spacing w:before="60"/>
            </w:pPr>
            <w:r>
              <w:t xml:space="preserve">- списать </w:t>
            </w:r>
            <w:r w:rsidR="004D29D3">
              <w:t>долг</w:t>
            </w:r>
            <w:r>
              <w:t>;</w:t>
            </w:r>
          </w:p>
          <w:p w:rsidR="0094759D" w:rsidRDefault="0094759D" w:rsidP="0094759D">
            <w:pPr>
              <w:spacing w:before="60"/>
            </w:pPr>
            <w:r>
              <w:t>- вернуть удержанные суммы;</w:t>
            </w:r>
          </w:p>
          <w:p w:rsidR="00226BBE" w:rsidRDefault="0094759D" w:rsidP="0094759D">
            <w:pPr>
              <w:spacing w:before="60"/>
            </w:pPr>
            <w:r>
              <w:t>- внести изменения в кредитную историю.</w:t>
            </w:r>
          </w:p>
        </w:tc>
        <w:tc>
          <w:tcPr>
            <w:tcW w:w="4824" w:type="dxa"/>
          </w:tcPr>
          <w:p w:rsidR="008775B7" w:rsidRDefault="008775B7" w:rsidP="008775B7">
            <w:pPr>
              <w:spacing w:before="60"/>
              <w:jc w:val="both"/>
            </w:pPr>
            <w:r w:rsidRPr="00923855">
              <w:rPr>
                <w:b/>
              </w:rPr>
              <w:t>После вступления решения суда</w:t>
            </w:r>
            <w:r>
              <w:t xml:space="preserve"> </w:t>
            </w:r>
            <w:r w:rsidRPr="00923855">
              <w:rPr>
                <w:b/>
              </w:rPr>
              <w:t>в силу</w:t>
            </w:r>
            <w:r>
              <w:t xml:space="preserve"> кредитор обязан:</w:t>
            </w:r>
          </w:p>
          <w:p w:rsidR="008775B7" w:rsidRDefault="008775B7" w:rsidP="008775B7">
            <w:pPr>
              <w:spacing w:before="60"/>
              <w:jc w:val="both"/>
            </w:pPr>
            <w:r>
              <w:t xml:space="preserve">- списать </w:t>
            </w:r>
            <w:r w:rsidR="004D29D3">
              <w:t>долг</w:t>
            </w:r>
            <w:r>
              <w:t>;</w:t>
            </w:r>
          </w:p>
          <w:p w:rsidR="008775B7" w:rsidRDefault="008775B7" w:rsidP="008775B7">
            <w:pPr>
              <w:spacing w:before="60"/>
              <w:jc w:val="both"/>
            </w:pPr>
            <w:r>
              <w:t xml:space="preserve">- вернуть удержанные </w:t>
            </w:r>
            <w:r w:rsidR="004D29D3">
              <w:t>суммы</w:t>
            </w:r>
            <w:r>
              <w:t>;</w:t>
            </w:r>
          </w:p>
          <w:p w:rsidR="00887438" w:rsidRDefault="008775B7" w:rsidP="008775B7">
            <w:pPr>
              <w:tabs>
                <w:tab w:val="left" w:pos="318"/>
              </w:tabs>
              <w:spacing w:before="60"/>
              <w:jc w:val="both"/>
            </w:pPr>
            <w:r>
              <w:t>- внести изменения в кредитную историю.</w:t>
            </w:r>
          </w:p>
        </w:tc>
      </w:tr>
    </w:tbl>
    <w:p w:rsidR="00781414" w:rsidRDefault="00781414" w:rsidP="00B00AC8">
      <w:pPr>
        <w:spacing w:before="60"/>
        <w:jc w:val="both"/>
      </w:pPr>
    </w:p>
    <w:p w:rsidR="00FB71EF" w:rsidRPr="003B04EE" w:rsidRDefault="00FB71EF" w:rsidP="00FB71EF">
      <w:pPr>
        <w:spacing w:before="60" w:after="80"/>
        <w:rPr>
          <w:sz w:val="20"/>
          <w:szCs w:val="20"/>
        </w:rPr>
      </w:pPr>
      <w:r>
        <w:rPr>
          <w:b/>
          <w:bCs/>
          <w:color w:val="1F4E79"/>
          <w:sz w:val="20"/>
          <w:szCs w:val="20"/>
        </w:rPr>
        <w:t>КОНТАКТЫ И ПОЛЕЗНЫЕ ССЫЛКИ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7938"/>
      </w:tblGrid>
      <w:tr w:rsidR="00C9326E" w:rsidTr="003B04EE">
        <w:tc>
          <w:tcPr>
            <w:tcW w:w="2551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B71EF" w:rsidRPr="00425461" w:rsidRDefault="007138E7" w:rsidP="006B1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Полиция</w:t>
            </w:r>
          </w:p>
        </w:tc>
        <w:tc>
          <w:tcPr>
            <w:tcW w:w="7938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B71EF" w:rsidRPr="003B04EE" w:rsidRDefault="00FB71EF" w:rsidP="00B06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eGov.kz (</w:t>
            </w:r>
            <w:hyperlink r:id="rId8" w:history="1">
              <w:r>
                <w:rPr>
                  <w:rStyle w:val="a5"/>
                  <w:sz w:val="20"/>
                  <w:szCs w:val="20"/>
                </w:rPr>
                <w:t>https://egov.kz</w:t>
              </w:r>
            </w:hyperlink>
            <w:r>
              <w:rPr>
                <w:sz w:val="20"/>
                <w:szCs w:val="20"/>
              </w:rPr>
              <w:t>), eOtinish (</w:t>
            </w:r>
            <w:hyperlink r:id="rId9" w:history="1">
              <w:r>
                <w:rPr>
                  <w:rStyle w:val="a5"/>
                  <w:sz w:val="20"/>
                  <w:szCs w:val="20"/>
                </w:rPr>
                <w:t>https://eotinish.kz</w:t>
              </w:r>
            </w:hyperlink>
            <w:r>
              <w:rPr>
                <w:sz w:val="20"/>
                <w:szCs w:val="20"/>
              </w:rPr>
              <w:t>) или лично по месту жительства (фронт-офис: + 7 7172 71 46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93)</w:t>
            </w:r>
          </w:p>
        </w:tc>
      </w:tr>
      <w:tr w:rsidR="00C9326E" w:rsidTr="003B04EE">
        <w:tc>
          <w:tcPr>
            <w:tcW w:w="2551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B71EF" w:rsidRPr="003B04EE" w:rsidRDefault="00FB71EF" w:rsidP="005738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АРРФР</w:t>
            </w:r>
          </w:p>
        </w:tc>
        <w:tc>
          <w:tcPr>
            <w:tcW w:w="7938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B71EF" w:rsidRPr="003B04EE" w:rsidRDefault="00FB71EF" w:rsidP="00B06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Портал e-Otinish.kz/Подать обращение/АРРФР (call-центр: </w:t>
            </w:r>
            <w:r>
              <w:rPr>
                <w:iCs/>
                <w:sz w:val="20"/>
                <w:szCs w:val="20"/>
              </w:rPr>
              <w:t>+ 7 727 237 10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)</w:t>
            </w:r>
          </w:p>
        </w:tc>
      </w:tr>
      <w:tr w:rsidR="00C9326E" w:rsidTr="003B04EE">
        <w:tc>
          <w:tcPr>
            <w:tcW w:w="2551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B71EF" w:rsidRPr="00425461" w:rsidRDefault="007138E7" w:rsidP="005738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Прокуратура </w:t>
            </w:r>
          </w:p>
        </w:tc>
        <w:tc>
          <w:tcPr>
            <w:tcW w:w="7938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B71EF" w:rsidRPr="003B04EE" w:rsidRDefault="006A4C89" w:rsidP="00B06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Портал e-Otinish.kz/Подать обращение/Генеральная прокуратура РК (call-центр: 115 – звонок по Казахстану бесплатно)</w:t>
            </w:r>
          </w:p>
        </w:tc>
      </w:tr>
    </w:tbl>
    <w:p w:rsidR="00FB71EF" w:rsidRDefault="00FB71EF" w:rsidP="006B1B69">
      <w:pPr>
        <w:spacing w:before="100"/>
      </w:pPr>
    </w:p>
    <w:sectPr w:rsidR="00FB71EF" w:rsidSect="00355B3A">
      <w:pgSz w:w="11906" w:h="16838"/>
      <w:pgMar w:top="568" w:right="707" w:bottom="0" w:left="709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E3" w:rsidRDefault="009577E3" w:rsidP="00FB1918">
      <w:r>
        <w:separator/>
      </w:r>
    </w:p>
  </w:endnote>
  <w:endnote w:type="continuationSeparator" w:id="0">
    <w:p w:rsidR="009577E3" w:rsidRDefault="009577E3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E3" w:rsidRDefault="009577E3" w:rsidP="00FB1918">
      <w:r>
        <w:separator/>
      </w:r>
    </w:p>
  </w:footnote>
  <w:footnote w:type="continuationSeparator" w:id="0">
    <w:p w:rsidR="009577E3" w:rsidRDefault="009577E3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333E"/>
    <w:multiLevelType w:val="hybridMultilevel"/>
    <w:tmpl w:val="092C293C"/>
    <w:lvl w:ilvl="0" w:tplc="260CF674">
      <w:start w:val="1"/>
      <w:numFmt w:val="bullet"/>
      <w:lvlText w:val="–"/>
      <w:lvlJc w:val="left"/>
      <w:pPr>
        <w:ind w:left="720" w:hanging="360"/>
      </w:pPr>
    </w:lvl>
    <w:lvl w:ilvl="1" w:tplc="6242F0E2">
      <w:numFmt w:val="decimal"/>
      <w:lvlText w:val=""/>
      <w:lvlJc w:val="left"/>
    </w:lvl>
    <w:lvl w:ilvl="2" w:tplc="D4BA9B54">
      <w:numFmt w:val="decimal"/>
      <w:lvlText w:val=""/>
      <w:lvlJc w:val="left"/>
    </w:lvl>
    <w:lvl w:ilvl="3" w:tplc="5F6AE5F8">
      <w:numFmt w:val="decimal"/>
      <w:lvlText w:val=""/>
      <w:lvlJc w:val="left"/>
    </w:lvl>
    <w:lvl w:ilvl="4" w:tplc="213EAB92">
      <w:numFmt w:val="decimal"/>
      <w:lvlText w:val=""/>
      <w:lvlJc w:val="left"/>
    </w:lvl>
    <w:lvl w:ilvl="5" w:tplc="AD3EC194">
      <w:numFmt w:val="decimal"/>
      <w:lvlText w:val=""/>
      <w:lvlJc w:val="left"/>
    </w:lvl>
    <w:lvl w:ilvl="6" w:tplc="D54EB082">
      <w:numFmt w:val="decimal"/>
      <w:lvlText w:val=""/>
      <w:lvlJc w:val="left"/>
    </w:lvl>
    <w:lvl w:ilvl="7" w:tplc="F32A30C2">
      <w:numFmt w:val="decimal"/>
      <w:lvlText w:val=""/>
      <w:lvlJc w:val="left"/>
    </w:lvl>
    <w:lvl w:ilvl="8" w:tplc="E5B61680">
      <w:numFmt w:val="decimal"/>
      <w:lvlText w:val=""/>
      <w:lvlJc w:val="left"/>
    </w:lvl>
  </w:abstractNum>
  <w:abstractNum w:abstractNumId="1" w15:restartNumberingAfterBreak="0">
    <w:nsid w:val="3FDA61EE"/>
    <w:multiLevelType w:val="hybridMultilevel"/>
    <w:tmpl w:val="5FEC6576"/>
    <w:lvl w:ilvl="0" w:tplc="007E5ECE">
      <w:start w:val="1"/>
      <w:numFmt w:val="bullet"/>
      <w:lvlText w:val="●"/>
      <w:lvlJc w:val="left"/>
      <w:pPr>
        <w:ind w:left="720" w:hanging="360"/>
      </w:pPr>
    </w:lvl>
    <w:lvl w:ilvl="1" w:tplc="A048650A">
      <w:start w:val="1"/>
      <w:numFmt w:val="bullet"/>
      <w:lvlText w:val="○"/>
      <w:lvlJc w:val="left"/>
      <w:pPr>
        <w:ind w:left="1440" w:hanging="360"/>
      </w:pPr>
    </w:lvl>
    <w:lvl w:ilvl="2" w:tplc="8DE61BE6">
      <w:start w:val="1"/>
      <w:numFmt w:val="bullet"/>
      <w:lvlText w:val="■"/>
      <w:lvlJc w:val="left"/>
      <w:pPr>
        <w:ind w:left="2160" w:hanging="360"/>
      </w:pPr>
    </w:lvl>
    <w:lvl w:ilvl="3" w:tplc="B63CA142">
      <w:start w:val="1"/>
      <w:numFmt w:val="bullet"/>
      <w:lvlText w:val="●"/>
      <w:lvlJc w:val="left"/>
      <w:pPr>
        <w:ind w:left="2880" w:hanging="360"/>
      </w:pPr>
    </w:lvl>
    <w:lvl w:ilvl="4" w:tplc="D0004FF2">
      <w:start w:val="1"/>
      <w:numFmt w:val="bullet"/>
      <w:lvlText w:val="○"/>
      <w:lvlJc w:val="left"/>
      <w:pPr>
        <w:ind w:left="3600" w:hanging="360"/>
      </w:pPr>
    </w:lvl>
    <w:lvl w:ilvl="5" w:tplc="86027F6C">
      <w:start w:val="1"/>
      <w:numFmt w:val="bullet"/>
      <w:lvlText w:val="■"/>
      <w:lvlJc w:val="left"/>
      <w:pPr>
        <w:ind w:left="4320" w:hanging="360"/>
      </w:pPr>
    </w:lvl>
    <w:lvl w:ilvl="6" w:tplc="D7846174">
      <w:start w:val="1"/>
      <w:numFmt w:val="bullet"/>
      <w:lvlText w:val="●"/>
      <w:lvlJc w:val="left"/>
      <w:pPr>
        <w:ind w:left="5040" w:hanging="360"/>
      </w:pPr>
    </w:lvl>
    <w:lvl w:ilvl="7" w:tplc="10701094">
      <w:start w:val="1"/>
      <w:numFmt w:val="bullet"/>
      <w:lvlText w:val="●"/>
      <w:lvlJc w:val="left"/>
      <w:pPr>
        <w:ind w:left="5760" w:hanging="360"/>
      </w:pPr>
    </w:lvl>
    <w:lvl w:ilvl="8" w:tplc="6EA8972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28"/>
    <w:rsid w:val="00061B2C"/>
    <w:rsid w:val="00064A31"/>
    <w:rsid w:val="00070BA3"/>
    <w:rsid w:val="00073017"/>
    <w:rsid w:val="000E0898"/>
    <w:rsid w:val="00111017"/>
    <w:rsid w:val="0011465C"/>
    <w:rsid w:val="00127E51"/>
    <w:rsid w:val="001D1113"/>
    <w:rsid w:val="001F29CF"/>
    <w:rsid w:val="001F74EE"/>
    <w:rsid w:val="002106CC"/>
    <w:rsid w:val="00226BBE"/>
    <w:rsid w:val="002378BD"/>
    <w:rsid w:val="00252C4C"/>
    <w:rsid w:val="00287EC0"/>
    <w:rsid w:val="002B7353"/>
    <w:rsid w:val="002D2C91"/>
    <w:rsid w:val="002D3579"/>
    <w:rsid w:val="002E1BC2"/>
    <w:rsid w:val="002E363E"/>
    <w:rsid w:val="003349A1"/>
    <w:rsid w:val="00341E23"/>
    <w:rsid w:val="00355B3A"/>
    <w:rsid w:val="003B04EE"/>
    <w:rsid w:val="003D0F5C"/>
    <w:rsid w:val="003E280D"/>
    <w:rsid w:val="004069A7"/>
    <w:rsid w:val="00424280"/>
    <w:rsid w:val="00425461"/>
    <w:rsid w:val="0043273E"/>
    <w:rsid w:val="004418B9"/>
    <w:rsid w:val="00455E29"/>
    <w:rsid w:val="00477ED0"/>
    <w:rsid w:val="004B3447"/>
    <w:rsid w:val="004D29D3"/>
    <w:rsid w:val="004E4F68"/>
    <w:rsid w:val="004F7381"/>
    <w:rsid w:val="00517D64"/>
    <w:rsid w:val="00531027"/>
    <w:rsid w:val="00555D11"/>
    <w:rsid w:val="00573800"/>
    <w:rsid w:val="005939DB"/>
    <w:rsid w:val="005A7B80"/>
    <w:rsid w:val="005C3A41"/>
    <w:rsid w:val="005E2121"/>
    <w:rsid w:val="005F4604"/>
    <w:rsid w:val="00605CD8"/>
    <w:rsid w:val="006140B3"/>
    <w:rsid w:val="00615125"/>
    <w:rsid w:val="00634381"/>
    <w:rsid w:val="006362C5"/>
    <w:rsid w:val="0064676B"/>
    <w:rsid w:val="006A4C89"/>
    <w:rsid w:val="006B1B69"/>
    <w:rsid w:val="006E34E9"/>
    <w:rsid w:val="00712C71"/>
    <w:rsid w:val="007138E7"/>
    <w:rsid w:val="00714992"/>
    <w:rsid w:val="00716EC2"/>
    <w:rsid w:val="00723DF1"/>
    <w:rsid w:val="00745467"/>
    <w:rsid w:val="00753414"/>
    <w:rsid w:val="0076411C"/>
    <w:rsid w:val="00781414"/>
    <w:rsid w:val="00784691"/>
    <w:rsid w:val="00792DD9"/>
    <w:rsid w:val="007C00FA"/>
    <w:rsid w:val="007C0748"/>
    <w:rsid w:val="007C713D"/>
    <w:rsid w:val="007C7543"/>
    <w:rsid w:val="00822884"/>
    <w:rsid w:val="00827B68"/>
    <w:rsid w:val="00837BE6"/>
    <w:rsid w:val="0085199D"/>
    <w:rsid w:val="008775B7"/>
    <w:rsid w:val="00883AEB"/>
    <w:rsid w:val="00887438"/>
    <w:rsid w:val="008B4193"/>
    <w:rsid w:val="008E628D"/>
    <w:rsid w:val="00903C28"/>
    <w:rsid w:val="00922228"/>
    <w:rsid w:val="00923855"/>
    <w:rsid w:val="00924924"/>
    <w:rsid w:val="00931CDF"/>
    <w:rsid w:val="009464B1"/>
    <w:rsid w:val="0094759D"/>
    <w:rsid w:val="009577E3"/>
    <w:rsid w:val="00957948"/>
    <w:rsid w:val="00967666"/>
    <w:rsid w:val="0098376A"/>
    <w:rsid w:val="00986A7F"/>
    <w:rsid w:val="00995874"/>
    <w:rsid w:val="009E5C6F"/>
    <w:rsid w:val="00A0773D"/>
    <w:rsid w:val="00A3787D"/>
    <w:rsid w:val="00A47DDE"/>
    <w:rsid w:val="00A70A19"/>
    <w:rsid w:val="00A75B6F"/>
    <w:rsid w:val="00A82693"/>
    <w:rsid w:val="00A947A5"/>
    <w:rsid w:val="00AB752A"/>
    <w:rsid w:val="00AC0134"/>
    <w:rsid w:val="00AD01A4"/>
    <w:rsid w:val="00AF1F90"/>
    <w:rsid w:val="00AF4988"/>
    <w:rsid w:val="00AF7EB3"/>
    <w:rsid w:val="00B00456"/>
    <w:rsid w:val="00B00AC8"/>
    <w:rsid w:val="00B06011"/>
    <w:rsid w:val="00B26377"/>
    <w:rsid w:val="00B72C13"/>
    <w:rsid w:val="00B86117"/>
    <w:rsid w:val="00B94595"/>
    <w:rsid w:val="00BB031D"/>
    <w:rsid w:val="00BB2E67"/>
    <w:rsid w:val="00BB7F41"/>
    <w:rsid w:val="00BD6D73"/>
    <w:rsid w:val="00BE1DE3"/>
    <w:rsid w:val="00BF4092"/>
    <w:rsid w:val="00C1199C"/>
    <w:rsid w:val="00C133E6"/>
    <w:rsid w:val="00C16648"/>
    <w:rsid w:val="00C3105F"/>
    <w:rsid w:val="00C435E2"/>
    <w:rsid w:val="00C73CC5"/>
    <w:rsid w:val="00C8095B"/>
    <w:rsid w:val="00C81FA5"/>
    <w:rsid w:val="00C9326E"/>
    <w:rsid w:val="00CA2818"/>
    <w:rsid w:val="00CA4A3F"/>
    <w:rsid w:val="00CB62AE"/>
    <w:rsid w:val="00CD4272"/>
    <w:rsid w:val="00CF1241"/>
    <w:rsid w:val="00CF25D0"/>
    <w:rsid w:val="00CF7CE9"/>
    <w:rsid w:val="00D0380B"/>
    <w:rsid w:val="00D170DD"/>
    <w:rsid w:val="00D372A6"/>
    <w:rsid w:val="00D4391E"/>
    <w:rsid w:val="00D561C1"/>
    <w:rsid w:val="00D60EDB"/>
    <w:rsid w:val="00D671C9"/>
    <w:rsid w:val="00D83D8D"/>
    <w:rsid w:val="00D85A2A"/>
    <w:rsid w:val="00DD026E"/>
    <w:rsid w:val="00DF138F"/>
    <w:rsid w:val="00E925F5"/>
    <w:rsid w:val="00EC5818"/>
    <w:rsid w:val="00ED2EE8"/>
    <w:rsid w:val="00F078DF"/>
    <w:rsid w:val="00F110A0"/>
    <w:rsid w:val="00F2158A"/>
    <w:rsid w:val="00F41E40"/>
    <w:rsid w:val="00F4392B"/>
    <w:rsid w:val="00F53F72"/>
    <w:rsid w:val="00F61558"/>
    <w:rsid w:val="00F73BFC"/>
    <w:rsid w:val="00F86AF6"/>
    <w:rsid w:val="00F96FBC"/>
    <w:rsid w:val="00FA1F9D"/>
    <w:rsid w:val="00FB71EF"/>
    <w:rsid w:val="00FE6706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49B677-5DA9-4E0F-B03A-03B766B2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39"/>
    <w:rsid w:val="0078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362C5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5E212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4327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327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3273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273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3273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3273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273E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355B3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55B3A"/>
  </w:style>
  <w:style w:type="paragraph" w:styleId="af4">
    <w:name w:val="footer"/>
    <w:basedOn w:val="a"/>
    <w:link w:val="af5"/>
    <w:uiPriority w:val="99"/>
    <w:unhideWhenUsed/>
    <w:rsid w:val="00355B3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5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otinish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B87B-7E8F-4CBA-9A38-EC163D16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Пирогова Арина Егоровна</cp:lastModifiedBy>
  <cp:revision>2</cp:revision>
  <cp:lastPrinted>2026-04-06T13:27:00Z</cp:lastPrinted>
  <dcterms:created xsi:type="dcterms:W3CDTF">2026-04-22T09:16:00Z</dcterms:created>
  <dcterms:modified xsi:type="dcterms:W3CDTF">2026-04-22T09:16:00Z</dcterms:modified>
</cp:coreProperties>
</file>